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eastAsia="zh-CN"/>
        </w:rPr>
        <w:t>以案释法之一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  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 xml:space="preserve"> 某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门诊部使用未取得抗菌药物处方权医师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违规开具抗菌药物处方案</w:t>
      </w:r>
    </w:p>
    <w:p>
      <w:pPr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〖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</w:rPr>
        <w:t>案情简介</w:t>
      </w:r>
      <w:r>
        <w:rPr>
          <w:rFonts w:hint="eastAsia" w:ascii="仿宋_GB2312" w:hAnsi="仿宋_GB2312" w:eastAsia="仿宋_GB2312" w:cs="仿宋_GB2312"/>
          <w:sz w:val="30"/>
          <w:szCs w:val="30"/>
        </w:rPr>
        <w:t>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2023年2月28日，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县卫生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健康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执法人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员对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门诊进行监督检查，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发现该门诊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医师覃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某某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未取得中级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、高级医师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专业技术职务任职资格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2023年2月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18日至2023年2月25日期间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为4位病人开具《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重庆市抗菌药物临床应用分级管理目录（2015 年版）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》中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特殊使用级抗菌药物“头孢吡污”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处方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限制使用级抗菌药物“头孢噻污”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处方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。经进一步调查核实，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某某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该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门诊部执业医师，2023年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初到该门诊工作，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取得中医类别《医师资格证书》和《医师执业证书》，执业范围中西医结合专业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只取得初级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医师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专业技术职务任职资格而未取得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医师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中级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、高级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专业技术职务任职资格。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根据调查取证情况，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本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县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卫健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委认为该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门诊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使用未取得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相应级别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抗菌药物处方权的医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开具抗菌药物处方违反了《抗菌药物临床应用管理办法》第二十四条第一款、第三款的规定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决定依据《抗菌药物临床应用管理办法》第五十条第（一）项的规定，责令该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门诊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立即改正，给予警告，并处罚款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仟元整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8000元）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的行政处罚。</w:t>
      </w:r>
    </w:p>
    <w:p>
      <w:pPr>
        <w:spacing w:line="400" w:lineRule="exact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〖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办理结果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202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5日，本县卫生健康行政机关向该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门诊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发出《行政处罚事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告知书》，告知将对其作出处罚：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警告，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罚款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捌仟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圆整（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000元）。该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门诊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表示放弃陈述和申辩。202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日，向其送达《行政处罚决定书》作出处罚：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警告，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罚款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捌仟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圆整（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000元）。该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门诊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于202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年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月1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日自觉全额缴纳罚款，本案结案。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shd w:val="clear" w:color="auto" w:fill="FFFFFF"/>
        </w:rPr>
        <w:t>典型意义</w:t>
      </w:r>
      <w:r>
        <w:rPr>
          <w:rFonts w:hint="eastAsia" w:asciiTheme="majorEastAsia" w:hAnsiTheme="majorEastAsia" w:eastAsiaTheme="majorEastAsia" w:cstheme="majorEastAsia"/>
          <w:sz w:val="30"/>
          <w:szCs w:val="30"/>
          <w:shd w:val="clear" w:color="auto" w:fill="FFFFFF"/>
        </w:rPr>
        <w:t>】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加强对抗菌药物临床应用管理，规范抗菌药物临床使用行为，促进临床合理用药是我国建立药物供应保障体系，建立基本药物制度，解决患者适宜药品可获得性的基础，是控制不合理药物治疗费用的重要手段。现阶段抗菌药物的正确与合理使用问题已经成为医学界、卫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健康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行政管理部门和人民群众普遍关心的问题，抗生素的滥用在基层医疗机构特别是在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民办医疗机构、个体诊所、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村级卫生室尤为严重，需要重点关注。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当前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很多个体诊所、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村级卫生室不能开展抗菌药物临床应用的辅助检查，不能开展抗菌药物过敏反应的有效抢救等情况，使用抗菌药物输注存在很大的安全隐患，建议卫生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  <w:lang w:eastAsia="zh-CN"/>
        </w:rPr>
        <w:t>健康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91919"/>
          <w:spacing w:val="0"/>
          <w:sz w:val="28"/>
          <w:szCs w:val="28"/>
          <w:shd w:val="clear" w:fill="FFFFFF"/>
        </w:rPr>
        <w:t>行政部门在日常监管中，在依法严厉打击滥用抗菌药物静脉输注的违法行为的同时，要加大对村医业务素质和法规知识的培训，提高其依法执业的法律意识，合理规避医疗风险。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DA27D6"/>
    <w:rsid w:val="06011698"/>
    <w:rsid w:val="10A90A80"/>
    <w:rsid w:val="196662F2"/>
    <w:rsid w:val="2FCF7FCD"/>
    <w:rsid w:val="36FF6587"/>
    <w:rsid w:val="3A232892"/>
    <w:rsid w:val="53DA27D6"/>
    <w:rsid w:val="6640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2023-07-19T01:32:00Z</dcterms:created>
  <dc:creator>阿新</dc:creator>
  <cp:lastModifiedBy>阿新</cp:lastModifiedBy>
  <dcterms:modified xsi:type="dcterms:W3CDTF">2023-07-31T01:12:26Z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