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以案释法之三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某某</w:t>
      </w:r>
      <w:r>
        <w:rPr>
          <w:rFonts w:ascii="宋体" w:hAnsi="宋体" w:eastAsia="宋体" w:cs="宋体"/>
          <w:b/>
          <w:bCs/>
          <w:sz w:val="32"/>
          <w:szCs w:val="32"/>
        </w:rPr>
        <w:t>自来水厂供应的生活饮用水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不符合国家卫生标准案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2023年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2月14日，本县卫生健康执法人员会同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县疾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控预防中心工作人员对某某自来水厂出厂水进行抽样监测。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2023年5月19日，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县疾病预防控制中心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出具该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自来水厂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出厂水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《卫生检测报告》，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报告指出该自来水厂出厂水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二氧化氯、大肠埃希氏菌、总大肠菌群、耐热大肠菌群、菌落总数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等项指标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不符合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国家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《生活饮用水卫生标准》（GB5749-2006）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规定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根据调查取证情况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，卫生健康执法人员认为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某某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自来水厂的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行为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违反了《中华人民共和国传染病防治法》第二十九条第一款、《生活饮用水卫生监督管理办法》第六条的规定，依据《中华人民共和国 传染病防治法》第七十三条第一项、《生活饮用水卫生监督管理办法》第二十 六条第（四）项的规定，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决定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给予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某某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自来水厂行政处罚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：罚款贰仟伍佰圆整（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2500元）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spacing w:line="40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〖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办理结果</w:t>
      </w:r>
      <w:r>
        <w:rPr>
          <w:rFonts w:hint="eastAsia" w:ascii="楷体_GB2312" w:hAnsi="楷体_GB2312" w:eastAsia="楷体_GB2312" w:cs="楷体_GB2312"/>
          <w:sz w:val="30"/>
          <w:szCs w:val="30"/>
        </w:rPr>
        <w:t>〗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Autospacing="0" w:line="300" w:lineRule="atLeas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595959" w:themeColor="text1" w:themeTint="A6"/>
          <w:spacing w:val="0"/>
          <w:sz w:val="28"/>
          <w:szCs w:val="28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595959" w:themeColor="text1" w:themeTint="A6"/>
          <w:spacing w:val="0"/>
          <w:sz w:val="28"/>
          <w:szCs w:val="28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595959" w:themeColor="text1" w:themeTint="A6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595959" w:themeColor="text1" w:themeTint="A6"/>
          <w:spacing w:val="0"/>
          <w:sz w:val="28"/>
          <w:szCs w:val="28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595959" w:themeColor="text1" w:themeTint="A6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595959" w:themeColor="text1" w:themeTint="A6"/>
          <w:spacing w:val="0"/>
          <w:sz w:val="28"/>
          <w:szCs w:val="28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月25日，本县卫生健康行政机关向该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595959" w:themeColor="text1" w:themeTint="A6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自来水厂作出处罚决定：罚款贰仟伍佰圆整（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595959" w:themeColor="text1" w:themeTint="A6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2500元）。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595959" w:themeColor="text1" w:themeTint="A6"/>
          <w:spacing w:val="0"/>
          <w:sz w:val="28"/>
          <w:szCs w:val="28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595959" w:themeColor="text1" w:themeTint="A6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自来水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595959" w:themeColor="text1" w:themeTint="A6"/>
          <w:spacing w:val="0"/>
          <w:sz w:val="28"/>
          <w:szCs w:val="28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厂自觉全额缴纳罚款，本案结案。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〖</w:t>
      </w:r>
      <w:r>
        <w:rPr>
          <w:rStyle w:val="5"/>
          <w:rFonts w:hint="eastAsia" w:asciiTheme="minorEastAsia" w:hAnsiTheme="minorEastAsia" w:eastAsiaTheme="minorEastAsia" w:cstheme="minorEastAsia"/>
          <w:b/>
          <w:bCs/>
          <w:i w:val="0"/>
          <w:caps w:val="0"/>
          <w:color w:val="595959" w:themeColor="text1" w:themeTint="A6"/>
          <w:spacing w:val="15"/>
          <w:sz w:val="28"/>
          <w:szCs w:val="28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法律</w: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404040"/>
          <w:spacing w:val="0"/>
          <w:sz w:val="27"/>
          <w:szCs w:val="27"/>
        </w:rPr>
        <w:t>链接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595959" w:themeColor="text1" w:themeTint="A6"/>
          <w:spacing w:val="0"/>
          <w:sz w:val="28"/>
          <w:szCs w:val="28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《中华人民共和国传染病防治法》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595959" w:themeColor="text1" w:themeTint="A6"/>
          <w:sz w:val="28"/>
          <w:szCs w:val="28"/>
          <w:shd w:val="clear" w:color="auto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第二十九条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595959" w:themeColor="text1" w:themeTint="A6"/>
          <w:sz w:val="28"/>
          <w:szCs w:val="28"/>
          <w:shd w:val="clear" w:color="auto" w:fill="FFFFFF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第一款规定：“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color w:val="595959" w:themeColor="text1" w:themeTint="A6"/>
          <w:sz w:val="28"/>
          <w:szCs w:val="28"/>
          <w:shd w:val="clear" w:color="auto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</w:t>
      </w:r>
      <w:r>
        <w:rPr>
          <w:rFonts w:hint="eastAsia" w:asciiTheme="minorEastAsia" w:hAnsiTheme="minorEastAsia" w:eastAsiaTheme="minorEastAsia" w:cstheme="minorEastAsia"/>
          <w:b w:val="0"/>
          <w:bCs/>
          <w:color w:val="595959" w:themeColor="text1" w:themeTint="A6"/>
          <w:sz w:val="28"/>
          <w:szCs w:val="28"/>
          <w:shd w:val="clear" w:color="auto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用于传染病防治的消毒产品、饮用水供水单位供应的饮用水和涉及饮用水卫生安全的产品，应当符合国家卫生标准和卫生规范。</w:t>
      </w:r>
      <w:r>
        <w:rPr>
          <w:rFonts w:hint="eastAsia" w:asciiTheme="minorEastAsia" w:hAnsiTheme="minorEastAsia" w:eastAsiaTheme="minorEastAsia" w:cstheme="minorEastAsia"/>
          <w:b w:val="0"/>
          <w:bCs/>
          <w:color w:val="595959" w:themeColor="text1" w:themeTint="A6"/>
          <w:sz w:val="28"/>
          <w:szCs w:val="28"/>
          <w:shd w:val="clear" w:color="auto" w:fill="FFFFFF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”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Autospacing="0" w:line="300" w:lineRule="atLeas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595959" w:themeColor="text1" w:themeTint="A6"/>
          <w:sz w:val="28"/>
          <w:szCs w:val="28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595959" w:themeColor="text1" w:themeTint="A6"/>
          <w:spacing w:val="0"/>
          <w:sz w:val="28"/>
          <w:szCs w:val="28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《中华人民共和国传染病防治法》第七十三条第(一)项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595959" w:themeColor="text1" w:themeTint="A6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规定：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595959" w:themeColor="text1" w:themeTint="A6"/>
          <w:spacing w:val="0"/>
          <w:sz w:val="28"/>
          <w:szCs w:val="28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595959" w:themeColor="text1" w:themeTint="A6"/>
          <w:sz w:val="28"/>
          <w:szCs w:val="28"/>
          <w:shd w:val="clear" w:color="auto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违反本法规定，有下列情形之一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595959" w:themeColor="text1" w:themeTint="A6"/>
          <w:sz w:val="28"/>
          <w:szCs w:val="28"/>
          <w:shd w:val="clear" w:color="auto" w:fill="FFFFFF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595959" w:themeColor="text1" w:themeTint="A6"/>
          <w:spacing w:val="0"/>
          <w:sz w:val="28"/>
          <w:szCs w:val="28"/>
          <w:shd w:val="clear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导致或者可能导致传染病传播、流行的，由县级以上人民政府卫生行政部门责令限期改正，没收违法所得，可以并处五万元以下的罚款”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595959" w:themeColor="text1" w:themeTint="A6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595959" w:themeColor="text1" w:themeTint="A6"/>
          <w:sz w:val="28"/>
          <w:szCs w:val="28"/>
          <w:shd w:val="clear" w:color="auto" w:fill="FFFFFF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饮用水供水单位供应的饮用水不符合国家卫生标准和卫生规范的；</w:t>
      </w:r>
      <w:r>
        <w:rPr>
          <w:rFonts w:hint="eastAsia" w:asciiTheme="minorEastAsia" w:hAnsiTheme="minorEastAsia" w:eastAsiaTheme="minorEastAsia" w:cstheme="minorEastAsia"/>
          <w:b/>
          <w:bCs/>
          <w:color w:val="595959" w:themeColor="text1" w:themeTint="A6"/>
          <w:sz w:val="28"/>
          <w:szCs w:val="28"/>
          <w:shd w:val="clear" w:color="auto" w:fill="FFFFFF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”。</w:t>
      </w:r>
    </w:p>
    <w:p>
      <w:pPr>
        <w:spacing w:line="400" w:lineRule="exact"/>
        <w:rPr>
          <w:rFonts w:hint="eastAsia" w:eastAsia="方正仿宋_GBK" w:asciiTheme="minorEastAsia" w:hAnsiTheme="minorEastAsia" w:cstheme="minorEastAsia"/>
          <w:b w:val="0"/>
          <w:bCs w:val="0"/>
          <w:color w:val="595959" w:themeColor="text1" w:themeTint="A6"/>
          <w:sz w:val="28"/>
          <w:szCs w:val="28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《生活饮用水卫生监督管理办法》第六条规定:供水单位供应的饮用水必须符合国家生活饮用水卫生标准。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5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《生活饮用水卫生监督管理办法》第二十六条规定: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违反本办法规定,有下列情形之一的,县级以上地方人民政府卫生行政部门应当责令限期改正,并可处以20元以上5000元以下的罚款: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（四）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供水单位供应的饮用水不符合国家规定的生活饮用水卫生标准的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”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72A14"/>
    <w:rsid w:val="013E5A13"/>
    <w:rsid w:val="09786F40"/>
    <w:rsid w:val="0C995F0C"/>
    <w:rsid w:val="0DAC771C"/>
    <w:rsid w:val="16F81697"/>
    <w:rsid w:val="1A7A122F"/>
    <w:rsid w:val="1FE109C2"/>
    <w:rsid w:val="4C135E1A"/>
    <w:rsid w:val="5B772A14"/>
    <w:rsid w:val="6974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2023-07-21T02:55:00Z</dcterms:created>
  <dc:creator>阿新</dc:creator>
  <cp:lastModifiedBy>阿新</cp:lastModifiedBy>
  <dcterms:modified xsi:type="dcterms:W3CDTF">2023-07-31T01:05:38Z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